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33</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R2-2600314</w:t>
      </w:r>
    </w:p>
    <w:p w14:paraId="7AC62114">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 xml:space="preserve">Gothenburg, Sweden, </w:t>
      </w:r>
      <w:r>
        <w:rPr>
          <w:rFonts w:hint="default" w:ascii="Times New Roman" w:hAnsi="Times New Roman" w:cs="Times New Roman"/>
          <w:sz w:val="22"/>
          <w:szCs w:val="22"/>
          <w:lang w:val="en-IN"/>
        </w:rPr>
        <w:t>09</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13th</w:t>
      </w:r>
      <w:r>
        <w:rPr>
          <w:rFonts w:hint="default" w:ascii="Times New Roman" w:hAnsi="Times New Roman" w:cs="Times New Roman"/>
          <w:sz w:val="22"/>
          <w:szCs w:val="22"/>
          <w:lang w:val="en-US"/>
        </w:rPr>
        <w:t xml:space="preserve"> February 202</w:t>
      </w:r>
      <w:r>
        <w:rPr>
          <w:rFonts w:hint="default" w:ascii="Times New Roman" w:hAnsi="Times New Roman" w:cs="Times New Roman"/>
          <w:sz w:val="22"/>
          <w:szCs w:val="22"/>
          <w:lang w:val="en-IN"/>
        </w:rPr>
        <w:t>6</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9.3.3</w:t>
      </w:r>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443D20BE">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Discussion on RRM measurement event prediction</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29AB41CF">
      <w:pPr>
        <w:pStyle w:val="2"/>
        <w:ind w:hanging="792"/>
        <w:rPr>
          <w:rFonts w:hint="default" w:ascii="Times New Roman" w:hAnsi="Times New Roman" w:cs="Times New Roman"/>
        </w:rPr>
      </w:pPr>
      <w:r>
        <w:rPr>
          <w:rFonts w:hint="default" w:ascii="Times New Roman" w:hAnsi="Times New Roman" w:cs="Times New Roman"/>
        </w:rPr>
        <w:t>Introduction</w:t>
      </w:r>
    </w:p>
    <w:p w14:paraId="2193F198">
      <w:pPr>
        <w:snapToGrid w:val="0"/>
        <w:spacing w:before="120"/>
        <w:rPr>
          <w:rFonts w:hint="default" w:ascii="Times New Roman" w:hAnsi="Times New Roman" w:cs="Times New Roman"/>
        </w:rPr>
      </w:pPr>
      <w:r>
        <w:rPr>
          <w:rFonts w:hint="default" w:ascii="Times New Roman" w:hAnsi="Times New Roman" w:cs="Times New Roman"/>
          <w:lang w:val="en-IN"/>
        </w:rPr>
        <w:t>In RAN#109 the WI for AI Mobility in NR was approved in RP-252899. RAN2 was asked to work on the following objectives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B33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16D4240">
            <w:p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Specify support for RRM measurement prediction and measurement event prediction for UE sided models [RAN2]:</w:t>
            </w:r>
          </w:p>
          <w:p w14:paraId="79649BEE">
            <w:pPr>
              <w:pStyle w:val="99"/>
              <w:numPr>
                <w:ilvl w:val="0"/>
                <w:numId w:val="15"/>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Temporal domain prediction case A and case B, and Frequency domain prediction for co-located cases are supported. </w:t>
            </w:r>
          </w:p>
          <w:p w14:paraId="4371C078">
            <w:pPr>
              <w:pStyle w:val="99"/>
              <w:numPr>
                <w:ilvl w:val="0"/>
                <w:numId w:val="15"/>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L3 Cell level predication is supported </w:t>
            </w:r>
          </w:p>
          <w:p w14:paraId="6022FF12">
            <w:pPr>
              <w:spacing w:before="0" w:beforeAutospacing="0" w:after="0" w:afterAutospacing="0" w:line="240" w:lineRule="auto"/>
              <w:ind w:right="0" w:firstLine="567"/>
              <w:jc w:val="both"/>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Note 1: For UE sided model, spatial domain prediction is not supported.</w:t>
            </w:r>
          </w:p>
          <w:p w14:paraId="12AD087F">
            <w:pPr>
              <w:spacing w:before="0" w:beforeAutospacing="0" w:after="0" w:afterAutospacing="0" w:line="240" w:lineRule="auto"/>
              <w:ind w:right="0" w:firstLine="567"/>
              <w:jc w:val="both"/>
              <w:rPr>
                <w:rFonts w:ascii="Arial" w:hAnsi="Arial" w:eastAsia="Arial" w:cs="Arial"/>
                <w:i w:val="0"/>
                <w:iCs w:val="0"/>
                <w:sz w:val="20"/>
                <w:szCs w:val="20"/>
                <w:lang w:val="en-GB"/>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Note 2: For UE sided model, L3 beam level prediction is not supported.</w:t>
            </w:r>
            <w:r>
              <w:rPr>
                <w:rFonts w:ascii="Arial" w:hAnsi="Arial" w:eastAsia="Arial" w:cs="Arial"/>
                <w:i w:val="0"/>
                <w:iCs w:val="0"/>
                <w:sz w:val="20"/>
                <w:szCs w:val="20"/>
                <w:lang w:val="en-GB"/>
              </w:rPr>
              <w:t xml:space="preserve"> </w:t>
            </w:r>
          </w:p>
          <w:p w14:paraId="02079007">
            <w:p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both RRM measurement prediction and measurement event prediction, specify signalling and protocol aspects to enable LCM functionality management for UE sided model including [RAN2]:</w:t>
            </w:r>
          </w:p>
          <w:p w14:paraId="4431FA93">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UE capability request and response procedure</w:t>
            </w:r>
          </w:p>
          <w:p w14:paraId="39A9EA6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Applicability report for both full and partial configuration approach </w:t>
            </w:r>
          </w:p>
          <w:p w14:paraId="7DD5A73D">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Inference configuration and inference report</w:t>
            </w:r>
          </w:p>
          <w:p w14:paraId="7B883E0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Performance monitoring performed in UE or network side, based on which network can manage UE sided functionality</w:t>
            </w:r>
          </w:p>
          <w:p w14:paraId="5148AC67">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UE sided data collection</w:t>
            </w:r>
          </w:p>
          <w:p w14:paraId="4657061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measurement event prediction:</w:t>
            </w:r>
          </w:p>
          <w:p w14:paraId="58B5C090">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Measurement event A1~A6 are in the scope in this release</w:t>
            </w:r>
          </w:p>
          <w:p w14:paraId="42368D56">
            <w:pPr>
              <w:spacing w:before="0" w:beforeAutospacing="0" w:after="0" w:afterAutospacing="0" w:line="240" w:lineRule="auto"/>
              <w:ind w:right="0"/>
              <w:jc w:val="both"/>
              <w:rPr>
                <w:rFonts w:hint="default" w:ascii="Times New Roman" w:hAnsi="Times New Roman"/>
                <w:bCs/>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Note3: Data transfer and model delivery for UE sided model are out of scope of this WI. And model related choices can be up to UE’s implementation. </w:t>
            </w:r>
          </w:p>
        </w:tc>
      </w:tr>
    </w:tbl>
    <w:p w14:paraId="7A55A2F5">
      <w:pPr>
        <w:spacing w:before="120" w:beforeAutospacing="0" w:after="120" w:afterAutospacing="0"/>
        <w:jc w:val="both"/>
        <w:rPr>
          <w:rFonts w:ascii="Times New Roman" w:hAnsi="Times New Roman" w:eastAsia="Times New Roman" w:cs="Times New Roman"/>
          <w:color w:val="000000" w:themeColor="text1" w:themeTint="FF"/>
          <w:sz w:val="20"/>
          <w:szCs w:val="20"/>
          <w:lang w:val="en-GB" w:eastAsia="zh-CN"/>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In this contribution, we discuss the </w:t>
      </w:r>
      <w:r>
        <w:rPr>
          <w:rFonts w:ascii="Times New Roman" w:hAnsi="Times New Roman" w:eastAsia="Times New Roman" w:cs="Times New Roman"/>
          <w:color w:val="000000" w:themeColor="text1" w:themeTint="FF"/>
          <w:sz w:val="20"/>
          <w:szCs w:val="20"/>
          <w:lang w:val="en-GB" w:eastAsia="zh-CN"/>
          <w14:textFill>
            <w14:solidFill>
              <w14:schemeClr w14:val="tx1">
                <w14:lumMod w14:val="100000"/>
                <w14:lumOff w14:val="0"/>
              </w14:schemeClr>
            </w14:solidFill>
          </w14:textFill>
        </w:rPr>
        <w:t>LCM functionality management for RRM measurement event prediction, including UE capability, applicability, inference configuration/reporting etc.</w:t>
      </w:r>
    </w:p>
    <w:p w14:paraId="143FEC00">
      <w:pPr>
        <w:spacing w:before="120" w:beforeAutospacing="0" w:after="120" w:afterAutospacing="0"/>
        <w:jc w:val="both"/>
        <w:rPr>
          <w:rFonts w:ascii="Times New Roman" w:hAnsi="Times New Roman" w:eastAsia="Times New Roman" w:cs="Times New Roman"/>
          <w:color w:val="000000" w:themeColor="text1" w:themeTint="FF"/>
          <w:sz w:val="20"/>
          <w:szCs w:val="20"/>
          <w:lang w:val="en-GB" w:eastAsia="zh-CN"/>
          <w14:textFill>
            <w14:solidFill>
              <w14:schemeClr w14:val="tx1">
                <w14:lumMod w14:val="100000"/>
                <w14:lumOff w14:val="0"/>
              </w14:schemeClr>
            </w14:solidFill>
          </w14:textFill>
        </w:rPr>
      </w:pPr>
    </w:p>
    <w:p w14:paraId="3CCFF591">
      <w:pPr>
        <w:spacing w:before="120" w:beforeAutospacing="0" w:after="120" w:afterAutospacing="0"/>
        <w:jc w:val="both"/>
        <w:rPr>
          <w:rFonts w:hint="default" w:ascii="Times New Roman" w:hAnsi="Times New Roman" w:eastAsia="Times New Roman" w:cs="Times New Roman"/>
          <w:color w:val="000000" w:themeColor="text1" w:themeTint="FF"/>
          <w:sz w:val="20"/>
          <w:szCs w:val="20"/>
          <w:lang w:val="en-GB" w:eastAsia="zh-CN"/>
          <w14:textFill>
            <w14:solidFill>
              <w14:schemeClr w14:val="tx1">
                <w14:lumMod w14:val="100000"/>
                <w14:lumOff w14:val="0"/>
              </w14:schemeClr>
            </w14:solidFill>
          </w14:textFill>
        </w:rPr>
      </w:pPr>
    </w:p>
    <w:p w14:paraId="2A468428">
      <w:pPr>
        <w:pStyle w:val="2"/>
        <w:ind w:hanging="792"/>
        <w:rPr>
          <w:rFonts w:hint="default" w:ascii="Times New Roman" w:hAnsi="Times New Roman" w:cs="Times New Roman"/>
        </w:rPr>
      </w:pPr>
      <w:r>
        <w:rPr>
          <w:rFonts w:hint="default" w:ascii="Times New Roman" w:hAnsi="Times New Roman" w:cs="Times New Roman"/>
        </w:rPr>
        <w:t>Discussion</w:t>
      </w:r>
      <w:r>
        <w:rPr>
          <w:rFonts w:hint="default" w:ascii="Times New Roman" w:hAnsi="Times New Roman" w:cs="Times New Roman"/>
          <w:lang w:val="en-IN"/>
        </w:rPr>
        <w:t xml:space="preserve"> on </w:t>
      </w:r>
      <w:r>
        <w:rPr>
          <w:rFonts w:hint="default" w:ascii="Times New Roman" w:hAnsi="Times New Roman" w:cs="Times New Roman"/>
          <w:lang w:val="en-IN" w:eastAsia="zh-CN"/>
        </w:rPr>
        <w:t>LCM functionality management for RRM measurement event prediction</w:t>
      </w:r>
    </w:p>
    <w:p w14:paraId="57465250">
      <w:pPr>
        <w:spacing w:before="0" w:beforeAutospacing="0" w:after="120" w:afterAutospacing="0"/>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This section discusses lifecycle management (LCM) aspects for RRM measurement event prediction in the context of UE-sided AI/ML inference models. The focus is on functional framework considerations within RAN2 scope, including UE capability signalling, inference configuration, inference reporting and monitoring, and applicability assessment, while reusing existing RRM signalling and procedures as much as possible.</w:t>
      </w:r>
    </w:p>
    <w:p w14:paraId="7CC345C8">
      <w:pPr>
        <w:spacing w:before="0" w:beforeAutospacing="0" w:after="120" w:afterAutospacing="0"/>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According to TR 38.744 [2], inference parameters used for inference and applicability assessment may include prediction window related parameters, timing information for temporal-domain inference, optional cell lists, and optional associated identifiers. For RRM measurement event prediction, only a subset of these parameters is applicable, primarily those related to temporal-domain inference and event triggering behaviour.</w:t>
      </w:r>
    </w:p>
    <w:p w14:paraId="2D5F8F7C">
      <w:pPr>
        <w:pStyle w:val="3"/>
        <w:numPr>
          <w:ilvl w:val="0"/>
          <w:numId w:val="0"/>
        </w:numPr>
        <w:ind w:left="0"/>
        <w:rPr>
          <w:rFonts w:ascii="Times New Roman" w:hAnsi="Times New Roman" w:eastAsia="Times New Roman" w:cs="Times New Roman"/>
          <w:i w:val="0"/>
          <w:iCs w:val="0"/>
          <w:lang w:val="en-IN" w:eastAsia="zh-CN"/>
        </w:rPr>
      </w:pPr>
      <w:r>
        <w:rPr>
          <w:rFonts w:hint="default" w:ascii="Times New Roman" w:hAnsi="Times New Roman" w:cs="Times New Roman"/>
          <w:lang w:val="en-IN" w:eastAsia="zh-CN"/>
        </w:rPr>
        <w:t>2.1 UE Capability</w:t>
      </w:r>
    </w:p>
    <w:p w14:paraId="7B2A74CA">
      <w:pPr>
        <w:rPr>
          <w:rFonts w:hint="default" w:ascii="Times New Roman" w:hAnsi="Times New Roman" w:eastAsia="SimSun" w:cs="Times New Roman"/>
          <w:i w:val="0"/>
          <w:iCs w:val="0"/>
          <w:caps w:val="0"/>
          <w:color w:val="auto"/>
          <w:spacing w:val="0"/>
          <w:sz w:val="20"/>
          <w:szCs w:val="20"/>
          <w:shd w:val="clear" w:fill="FFFFFF"/>
          <w:lang w:val="en-US" w:eastAsia="zh-CN"/>
        </w:rPr>
      </w:pPr>
      <w:r>
        <w:rPr>
          <w:rFonts w:hint="default" w:ascii="Times New Roman" w:hAnsi="Times New Roman" w:cs="Times New Roman"/>
          <w:b/>
          <w:bCs/>
          <w:lang w:val="en-IN" w:eastAsia="zh-CN"/>
        </w:rPr>
        <w:t>Observation:</w:t>
      </w:r>
      <w:r>
        <w:rPr>
          <w:rFonts w:hint="default" w:ascii="Times New Roman" w:hAnsi="Times New Roman" w:eastAsia="SimSun" w:cs="Times New Roman"/>
          <w:i w:val="0"/>
          <w:iCs w:val="0"/>
          <w:caps w:val="0"/>
          <w:color w:val="auto"/>
          <w:spacing w:val="0"/>
          <w:sz w:val="20"/>
          <w:szCs w:val="20"/>
          <w:shd w:val="clear" w:fill="FFFFFF"/>
          <w:lang w:val="en-US" w:eastAsia="zh-CN"/>
        </w:rPr>
        <w:t xml:space="preserve"> For </w:t>
      </w:r>
      <w:r>
        <w:rPr>
          <w:rFonts w:hint="default" w:ascii="Times New Roman" w:hAnsi="Times New Roman" w:cs="Times New Roman"/>
          <w:i w:val="0"/>
          <w:iCs w:val="0"/>
          <w:caps w:val="0"/>
          <w:color w:val="auto"/>
          <w:spacing w:val="0"/>
          <w:sz w:val="20"/>
          <w:szCs w:val="20"/>
          <w:shd w:val="clear" w:fill="FFFFFF"/>
          <w:lang w:val="en-IN" w:eastAsia="zh-CN"/>
        </w:rPr>
        <w:t>LCM</w:t>
      </w:r>
      <w:r>
        <w:rPr>
          <w:rFonts w:hint="default" w:ascii="Times New Roman" w:hAnsi="Times New Roman" w:eastAsia="SimSun" w:cs="Times New Roman"/>
          <w:i w:val="0"/>
          <w:iCs w:val="0"/>
          <w:caps w:val="0"/>
          <w:color w:val="auto"/>
          <w:spacing w:val="0"/>
          <w:sz w:val="20"/>
          <w:szCs w:val="20"/>
          <w:shd w:val="clear" w:fill="FFFFFF"/>
          <w:lang w:val="en-US" w:eastAsia="zh-CN"/>
        </w:rPr>
        <w:t xml:space="preserve"> of RRM measurement event prediction, the network needs to determine whether a UE supports AI/ML-enabled event-level inference functionality. UE capability signalling should therefore indicate support for RRM measurement event prediction as a functionality, independent of specific AI/ML model characteristics or implementation details.</w:t>
      </w:r>
    </w:p>
    <w:p w14:paraId="6C87B109">
      <w:pPr>
        <w:rPr>
          <w:rFonts w:hint="default" w:ascii="Times New Roman" w:hAnsi="Times New Roman" w:eastAsia="SimSun" w:cs="Times New Roman"/>
          <w:i w:val="0"/>
          <w:iCs w:val="0"/>
          <w:caps w:val="0"/>
          <w:color w:val="auto"/>
          <w:spacing w:val="0"/>
          <w:sz w:val="20"/>
          <w:szCs w:val="20"/>
          <w:shd w:val="clear" w:fill="FFFFFF"/>
          <w:lang w:val="en-US" w:eastAsia="zh-CN"/>
        </w:rPr>
      </w:pPr>
      <w:r>
        <w:rPr>
          <w:rFonts w:hint="default" w:ascii="Times New Roman" w:hAnsi="Times New Roman" w:eastAsia="SimSun" w:cs="Times New Roman"/>
          <w:i w:val="0"/>
          <w:iCs w:val="0"/>
          <w:caps w:val="0"/>
          <w:color w:val="auto"/>
          <w:spacing w:val="0"/>
          <w:sz w:val="20"/>
          <w:szCs w:val="20"/>
          <w:shd w:val="clear" w:fill="FFFFFF"/>
          <w:lang w:val="en-US" w:eastAsia="zh-CN"/>
        </w:rPr>
        <w:t>In contrast to RRM measurement prediction, RRM measurement event prediction directly affects the triggering behaviour of legacy measurement events (e.g. A1–A6). Consequently, UE capability signalling should allow the network to distinguish between UEs that support only measurement value prediction and those that additionally support prediction of measurement event entry and/or exit</w:t>
      </w:r>
      <w:r>
        <w:rPr>
          <w:rFonts w:hint="default" w:ascii="Times New Roman" w:hAnsi="Times New Roman" w:cs="Times New Roman"/>
          <w:i w:val="0"/>
          <w:iCs w:val="0"/>
          <w:caps w:val="0"/>
          <w:color w:val="auto"/>
          <w:spacing w:val="0"/>
          <w:sz w:val="20"/>
          <w:szCs w:val="20"/>
          <w:shd w:val="clear" w:fill="FFFFFF"/>
          <w:lang w:val="en-IN" w:eastAsia="zh-CN"/>
        </w:rPr>
        <w:t xml:space="preserve"> (PA1-PA6)</w:t>
      </w:r>
      <w:r>
        <w:rPr>
          <w:rFonts w:hint="default" w:ascii="Times New Roman" w:hAnsi="Times New Roman" w:eastAsia="SimSun" w:cs="Times New Roman"/>
          <w:i w:val="0"/>
          <w:iCs w:val="0"/>
          <w:caps w:val="0"/>
          <w:color w:val="auto"/>
          <w:spacing w:val="0"/>
          <w:sz w:val="20"/>
          <w:szCs w:val="20"/>
          <w:shd w:val="clear" w:fill="FFFFFF"/>
          <w:lang w:val="en-US" w:eastAsia="zh-CN"/>
        </w:rPr>
        <w:t xml:space="preserve"> conditions.</w:t>
      </w:r>
    </w:p>
    <w:p w14:paraId="54AFB0EF">
      <w:pPr>
        <w:rPr>
          <w:rFonts w:hint="default" w:ascii="Times New Roman" w:hAnsi="Times New Roman" w:eastAsia="SimSun" w:cs="Times New Roman"/>
          <w:i w:val="0"/>
          <w:iCs w:val="0"/>
          <w:caps w:val="0"/>
          <w:color w:val="auto"/>
          <w:spacing w:val="0"/>
          <w:sz w:val="20"/>
          <w:szCs w:val="20"/>
          <w:shd w:val="clear" w:fill="FFFFFF"/>
          <w:lang w:val="en-US" w:eastAsia="zh-CN"/>
        </w:rPr>
      </w:pPr>
      <w:r>
        <w:rPr>
          <w:rFonts w:hint="default" w:ascii="Times New Roman" w:hAnsi="Times New Roman" w:eastAsia="SimSun" w:cs="Times New Roman"/>
          <w:i w:val="0"/>
          <w:iCs w:val="0"/>
          <w:caps w:val="0"/>
          <w:color w:val="auto"/>
          <w:spacing w:val="0"/>
          <w:sz w:val="20"/>
          <w:szCs w:val="20"/>
          <w:shd w:val="clear" w:fill="FFFFFF"/>
          <w:lang w:val="en-US" w:eastAsia="zh-CN"/>
        </w:rPr>
        <w:t>The UE capability indication should be aligned with the lifecycle management framework defined in TR 38.843 [3], enabling the network to perform configuration, activation, monitoring, and release decisions at the functionality level rather than at the model level.</w:t>
      </w:r>
    </w:p>
    <w:p w14:paraId="530A5B81">
      <w:pPr>
        <w:rPr>
          <w:rFonts w:hint="default" w:ascii="Times New Roman" w:hAnsi="Times New Roman" w:cs="Times New Roman"/>
          <w:b/>
          <w:bCs/>
          <w:lang w:val="en-IN" w:eastAsia="zh-CN"/>
        </w:rPr>
      </w:pPr>
      <w:r>
        <w:rPr>
          <w:rFonts w:hint="default" w:ascii="Times New Roman" w:hAnsi="Times New Roman" w:cs="Times New Roman"/>
          <w:b/>
          <w:bCs/>
          <w:lang w:val="en-US" w:eastAsia="zh-CN"/>
        </w:rPr>
        <w:t>Proposal 1: UE capability signalling shall indicate support for RRM measurement event prediction, including support for event-level inference</w:t>
      </w:r>
      <w:r>
        <w:rPr>
          <w:rFonts w:hint="default" w:ascii="Times New Roman" w:hAnsi="Times New Roman" w:cs="Times New Roman"/>
          <w:b/>
          <w:bCs/>
          <w:lang w:val="en-IN" w:eastAsia="zh-CN"/>
        </w:rPr>
        <w:t xml:space="preserve"> (PA1-PA6)</w:t>
      </w:r>
      <w:r>
        <w:rPr>
          <w:rFonts w:hint="default" w:ascii="Times New Roman" w:hAnsi="Times New Roman" w:cs="Times New Roman"/>
          <w:b/>
          <w:bCs/>
          <w:lang w:val="en-US" w:eastAsia="zh-CN"/>
        </w:rPr>
        <w:t>, and shall not include AI/ML model-specific information</w:t>
      </w:r>
      <w:r>
        <w:rPr>
          <w:rFonts w:hint="default" w:ascii="Times New Roman" w:hAnsi="Times New Roman" w:cs="Times New Roman"/>
          <w:b/>
          <w:bCs/>
          <w:lang w:val="en-IN" w:eastAsia="zh-CN"/>
        </w:rPr>
        <w:t>.</w:t>
      </w:r>
    </w:p>
    <w:p w14:paraId="1D43DF27">
      <w:pPr>
        <w:pStyle w:val="3"/>
        <w:numPr>
          <w:ilvl w:val="0"/>
          <w:numId w:val="0"/>
        </w:numPr>
        <w:ind w:left="0"/>
        <w:rPr>
          <w:rFonts w:ascii="Times New Roman" w:hAnsi="Times New Roman" w:eastAsia="Times New Roman" w:cs="Times New Roman"/>
          <w:i w:val="0"/>
          <w:iCs w:val="0"/>
          <w:lang w:val="en-IN" w:eastAsia="zh-CN"/>
        </w:rPr>
      </w:pPr>
      <w:r>
        <w:rPr>
          <w:rFonts w:hint="default" w:ascii="Times New Roman" w:hAnsi="Times New Roman" w:cs="Times New Roman"/>
          <w:lang w:val="en-IN" w:eastAsia="zh-CN"/>
        </w:rPr>
        <w:t>2.2 Inference Configuration</w:t>
      </w:r>
    </w:p>
    <w:p w14:paraId="06239B7E">
      <w:pP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pPr>
      <w:r>
        <w:rPr>
          <w:rFonts w:hint="default" w:ascii="Times New Roman" w:hAnsi="Times New Roman" w:cs="Times New Roman"/>
          <w:b/>
          <w:bCs/>
          <w:lang w:val="en-IN" w:eastAsia="zh-CN"/>
        </w:rPr>
        <w:t>Observation:</w:t>
      </w: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 xml:space="preserve"> The configuration stage of</w:t>
      </w:r>
      <w:r>
        <w:rPr>
          <w:rFonts w:hint="default" w:ascii="Times New Roman" w:hAnsi="Times New Roman" w:cs="Times New Roman"/>
          <w:i w:val="0"/>
          <w:iCs w:val="0"/>
          <w:caps w:val="0"/>
          <w:color w:val="auto"/>
          <w:spacing w:val="0"/>
          <w:sz w:val="20"/>
          <w:szCs w:val="20"/>
          <w:bdr w:val="none" w:color="auto" w:sz="0" w:space="0"/>
          <w:shd w:val="clear" w:fill="FFFFFF"/>
          <w:lang w:val="en-IN"/>
        </w:rPr>
        <w:t xml:space="preserve"> LCM</w:t>
      </w: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 xml:space="preserve"> for RRM measurement event prediction should reuse the existing RRC measurement configuration framework. Inference configuration for event prediction is therefore tightly coupled with legacy measurement configuration and should avoid introducing new AI/ML-specific identifiers or parallel configuration structures.</w:t>
      </w:r>
    </w:p>
    <w:p w14:paraId="3708BA77">
      <w:pP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pP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The inference configuration may include a limited set of additional inference-related parameters, such as prediction window characteristics and optional target cell lists, as defined in TR 38.744. For RRM measurement event prediction, the inference configuration determines the temporal applicability of predicted event occurrence, including the time horizon within which a predicted event entry or exit condition is considered valid.</w:t>
      </w:r>
    </w:p>
    <w:p w14:paraId="20345E66">
      <w:pP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pP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To ensure consistency across configuration, activation, and reporting stages of</w:t>
      </w:r>
      <w:r>
        <w:rPr>
          <w:rFonts w:hint="default" w:ascii="Times New Roman" w:hAnsi="Times New Roman" w:cs="Times New Roman"/>
          <w:i w:val="0"/>
          <w:iCs w:val="0"/>
          <w:caps w:val="0"/>
          <w:color w:val="auto"/>
          <w:spacing w:val="0"/>
          <w:sz w:val="20"/>
          <w:szCs w:val="20"/>
          <w:bdr w:val="none" w:color="auto" w:sz="0" w:space="0"/>
          <w:shd w:val="clear" w:fill="FFFFFF"/>
          <w:lang w:val="en-IN"/>
        </w:rPr>
        <w:t xml:space="preserve"> LCM</w:t>
      </w: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 the inference configuration should be bound to the corresponding measurement ID. The measurement ID thus acts as the lifecycle anchor for RRM measurement event prediction, linking inference configuration, reporting, and monitoring to existing RRM measurement procedures.</w:t>
      </w:r>
    </w:p>
    <w:p w14:paraId="5C2C9C7B">
      <w:pPr>
        <w:rPr>
          <w:rFonts w:hint="default" w:ascii="Times New Roman" w:hAnsi="Times New Roman" w:cs="Times New Roman"/>
          <w:b/>
          <w:bCs/>
          <w:lang w:val="en-IN" w:eastAsia="zh-CN"/>
        </w:rPr>
      </w:pPr>
      <w:r>
        <w:rPr>
          <w:rFonts w:hint="default" w:ascii="Times New Roman" w:hAnsi="Times New Roman" w:eastAsia="SimSun" w:cs="Times New Roman"/>
          <w:i w:val="0"/>
          <w:iCs w:val="0"/>
          <w:caps w:val="0"/>
          <w:color w:val="auto"/>
          <w:spacing w:val="0"/>
          <w:sz w:val="20"/>
          <w:szCs w:val="20"/>
          <w:bdr w:val="none" w:color="auto" w:sz="0" w:space="0"/>
          <w:shd w:val="clear" w:fill="FFFFFF"/>
          <w:lang w:val="en-US"/>
        </w:rPr>
        <w:t>This approach allows event prediction functionality to be configured and managed in conjunction with legacy measurement behaviour, while minimizing specification impact and maintaining backward compatibility. </w:t>
      </w:r>
      <w:r>
        <w:rPr>
          <w:rFonts w:hint="default" w:ascii="Times New Roman" w:hAnsi="Times New Roman" w:eastAsia="SimSun" w:cs="Times New Roman"/>
          <w:i w:val="0"/>
          <w:iCs w:val="0"/>
          <w:caps w:val="0"/>
          <w:color w:val="auto"/>
          <w:spacing w:val="0"/>
          <w:sz w:val="20"/>
          <w:szCs w:val="20"/>
          <w:bdr w:val="none" w:color="auto" w:sz="0" w:space="0"/>
          <w:shd w:val="clear" w:fill="FFFFFF"/>
        </w:rPr>
        <w:t> </w:t>
      </w:r>
    </w:p>
    <w:p w14:paraId="2FCE4F65">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Inference configuration shall be provided as part of RRM measurement configuration for RRM measurement event prediction and shall be associated with the corresponding measurement ID.</w:t>
      </w:r>
    </w:p>
    <w:p w14:paraId="5CDBC183">
      <w:pPr>
        <w:rPr>
          <w:rFonts w:hint="default" w:ascii="Times New Roman" w:hAnsi="Times New Roman" w:cs="Times New Roman"/>
          <w:b/>
          <w:bCs/>
          <w:lang w:val="en-IN" w:eastAsia="zh-CN"/>
        </w:rPr>
      </w:pPr>
    </w:p>
    <w:p w14:paraId="13FC35B4">
      <w:pPr>
        <w:rPr>
          <w:rFonts w:hint="default" w:ascii="Times New Roman" w:hAnsi="Times New Roman" w:cs="Times New Roman"/>
          <w:b/>
          <w:bCs/>
          <w:lang w:val="en-IN" w:eastAsia="zh-CN"/>
        </w:rPr>
      </w:pPr>
    </w:p>
    <w:p w14:paraId="3DD13225">
      <w:pPr>
        <w:rPr>
          <w:rFonts w:hint="default" w:ascii="Times New Roman" w:hAnsi="Times New Roman" w:cs="Times New Roman"/>
          <w:b/>
          <w:bCs/>
          <w:lang w:val="en-IN" w:eastAsia="zh-CN"/>
        </w:rPr>
      </w:pPr>
    </w:p>
    <w:p w14:paraId="3D03FF7A">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2.3 </w:t>
      </w:r>
      <w:r>
        <w:rPr>
          <w:rFonts w:ascii="Times New Roman" w:hAnsi="Times New Roman" w:eastAsia="Times New Roman" w:cs="Times New Roman"/>
          <w:i w:val="0"/>
          <w:iCs w:val="0"/>
          <w:lang w:val="en-IN" w:eastAsia="zh-CN"/>
        </w:rPr>
        <w:t>Inferenc</w:t>
      </w:r>
      <w:r>
        <w:rPr>
          <w:rFonts w:hint="default" w:ascii="Times New Roman" w:hAnsi="Times New Roman" w:eastAsia="Times New Roman" w:cs="Times New Roman"/>
          <w:i w:val="0"/>
          <w:iCs w:val="0"/>
          <w:lang w:val="en-IN" w:eastAsia="zh-CN"/>
        </w:rPr>
        <w:t>e Reporting</w:t>
      </w:r>
      <w:r>
        <w:rPr>
          <w:rFonts w:hint="default" w:ascii="Times New Roman" w:hAnsi="Times New Roman" w:cs="Times New Roman"/>
          <w:lang w:val="en-IN" w:eastAsia="zh-CN"/>
        </w:rPr>
        <w:t xml:space="preserve"> </w:t>
      </w:r>
    </w:p>
    <w:p w14:paraId="256B5669">
      <w:pPr>
        <w:spacing w:before="240" w:beforeAutospacing="0" w:after="240" w:afterAutospacing="0"/>
        <w:jc w:val="both"/>
        <w:rPr>
          <w:rFonts w:hint="default" w:ascii="Times New Roman" w:hAnsi="Times New Roman" w:eastAsia="Times New Roman" w:cs="Times New Roman"/>
          <w:i w:val="0"/>
          <w:iCs w:val="0"/>
          <w:color w:val="auto"/>
          <w:sz w:val="20"/>
          <w:szCs w:val="20"/>
          <w:lang w:val="en-US" w:eastAsia="zh-CN" w:bidi="ar-SA"/>
        </w:rPr>
      </w:pPr>
      <w:r>
        <w:rPr>
          <w:rFonts w:hint="default" w:ascii="Times New Roman" w:hAnsi="Times New Roman" w:cs="Times New Roman"/>
          <w:b/>
          <w:bCs/>
          <w:lang w:val="en-IN" w:eastAsia="zh-CN"/>
        </w:rPr>
        <w:t>Observation:</w:t>
      </w:r>
      <w:r>
        <w:rPr>
          <w:rFonts w:ascii="Times New Roman" w:hAnsi="Times New Roman" w:eastAsia="Times New Roman" w:cs="Times New Roman"/>
          <w:b/>
          <w:bCs/>
          <w:i w:val="0"/>
          <w:iCs w:val="0"/>
          <w:color w:val="auto"/>
          <w:sz w:val="20"/>
          <w:szCs w:val="20"/>
          <w:lang w:val="en-US" w:eastAsia="zh-CN" w:bidi="ar-SA"/>
        </w:rPr>
        <w:t xml:space="preserve"> </w:t>
      </w:r>
      <w:r>
        <w:rPr>
          <w:rFonts w:hint="default" w:ascii="Times New Roman" w:hAnsi="Times New Roman" w:eastAsia="Times New Roman" w:cs="Times New Roman"/>
          <w:i w:val="0"/>
          <w:iCs w:val="0"/>
          <w:color w:val="auto"/>
          <w:sz w:val="20"/>
          <w:szCs w:val="20"/>
          <w:lang w:val="en-US" w:eastAsia="zh-CN" w:bidi="ar-SA"/>
        </w:rPr>
        <w:t xml:space="preserve">During the operational stage of </w:t>
      </w:r>
      <w:r>
        <w:rPr>
          <w:rFonts w:hint="default" w:ascii="Times New Roman" w:hAnsi="Times New Roman" w:eastAsia="Times New Roman" w:cs="Times New Roman"/>
          <w:i w:val="0"/>
          <w:iCs w:val="0"/>
          <w:color w:val="auto"/>
          <w:sz w:val="20"/>
          <w:szCs w:val="20"/>
          <w:lang w:val="en-IN" w:eastAsia="zh-CN" w:bidi="ar-SA"/>
        </w:rPr>
        <w:t>LCM</w:t>
      </w:r>
      <w:r>
        <w:rPr>
          <w:rFonts w:hint="default" w:ascii="Times New Roman" w:hAnsi="Times New Roman" w:eastAsia="Times New Roman" w:cs="Times New Roman"/>
          <w:i w:val="0"/>
          <w:iCs w:val="0"/>
          <w:color w:val="auto"/>
          <w:sz w:val="20"/>
          <w:szCs w:val="20"/>
          <w:lang w:val="en-US" w:eastAsia="zh-CN" w:bidi="ar-SA"/>
        </w:rPr>
        <w:t>, the UE may report predicted measurement events using the existing RRM measurement reporting framework. Such reports may include information related to the predicted event occurrence, including time-related information associated with the predicted entry or exit of a measurement event.</w:t>
      </w:r>
    </w:p>
    <w:p w14:paraId="3C78C7B1">
      <w:pPr>
        <w:spacing w:before="240" w:beforeAutospacing="0" w:after="240" w:afterAutospacing="0"/>
        <w:jc w:val="both"/>
        <w:rPr>
          <w:rFonts w:hint="default" w:ascii="Times New Roman" w:hAnsi="Times New Roman" w:eastAsia="Times New Roman" w:cs="Times New Roman"/>
          <w:i w:val="0"/>
          <w:iCs w:val="0"/>
          <w:color w:val="auto"/>
          <w:sz w:val="20"/>
          <w:szCs w:val="20"/>
          <w:lang w:val="en-US" w:eastAsia="zh-CN" w:bidi="ar-SA"/>
        </w:rPr>
      </w:pPr>
      <w:r>
        <w:rPr>
          <w:rFonts w:hint="default" w:ascii="Times New Roman" w:hAnsi="Times New Roman" w:eastAsia="Times New Roman" w:cs="Times New Roman"/>
          <w:i w:val="0"/>
          <w:iCs w:val="0"/>
          <w:color w:val="auto"/>
          <w:sz w:val="20"/>
          <w:szCs w:val="20"/>
          <w:lang w:val="en-US" w:eastAsia="zh-CN" w:bidi="ar-SA"/>
        </w:rPr>
        <w:t>From an LCM perspective, inference reporting enables the network to monitor the behaviour, relevance, and effectiveness of the activated event prediction functionality without requiring explicit monitoring of AI/ML models or internal inference mechanisms.</w:t>
      </w:r>
    </w:p>
    <w:p w14:paraId="64A3D61D">
      <w:pPr>
        <w:spacing w:before="240" w:beforeAutospacing="0" w:after="240" w:afterAutospacing="0"/>
        <w:jc w:val="both"/>
        <w:rPr>
          <w:b w:val="0"/>
          <w:bCs w:val="0"/>
          <w:i w:val="0"/>
          <w:iCs w:val="0"/>
          <w:color w:val="auto"/>
        </w:rPr>
      </w:pPr>
      <w:r>
        <w:rPr>
          <w:rFonts w:hint="default" w:ascii="Times New Roman" w:hAnsi="Times New Roman" w:eastAsia="Times New Roman" w:cs="Times New Roman"/>
          <w:i w:val="0"/>
          <w:iCs w:val="0"/>
          <w:color w:val="auto"/>
          <w:sz w:val="20"/>
          <w:szCs w:val="20"/>
          <w:lang w:val="en-US" w:eastAsia="zh-CN" w:bidi="ar-SA"/>
        </w:rPr>
        <w:t>Reusing the legacy RRM measurement reporting framework ensures that operational monitoring of event prediction functionality is achieved with minimal changes to existing signalling and avoids introducing new reporting channels or procedures specific to AI/ML.</w:t>
      </w:r>
      <w:r>
        <w:rPr>
          <w:rFonts w:hint="default" w:ascii="Times New Roman" w:hAnsi="Times New Roman" w:eastAsia="Segoe UI" w:cs="Times New Roman"/>
          <w:b w:val="0"/>
          <w:bCs w:val="0"/>
          <w:i w:val="0"/>
          <w:iCs w:val="0"/>
          <w:caps w:val="0"/>
          <w:color w:val="auto"/>
          <w:spacing w:val="0"/>
          <w:sz w:val="20"/>
          <w:szCs w:val="20"/>
          <w:bdr w:val="none" w:color="auto" w:sz="0" w:space="0"/>
          <w:shd w:val="clear" w:fill="FFFFFF"/>
          <w:vertAlign w:val="baseline"/>
        </w:rPr>
        <w:t> </w:t>
      </w:r>
    </w:p>
    <w:p w14:paraId="1DF825D1">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US" w:eastAsia="zh-CN" w:bidi="ar-SA"/>
        </w:rPr>
        <w:t>Proposal 3: Inference reporting shall be supported using existing RRM measurement reporting procedures for RRM measurement event prediction, without introducing new reporting mechanisms.</w:t>
      </w:r>
      <w:r>
        <w:rPr>
          <w:rFonts w:hint="default" w:cs="Times New Roman"/>
          <w:b/>
          <w:bCs/>
          <w:i w:val="0"/>
          <w:iCs w:val="0"/>
          <w:color w:val="auto"/>
          <w:sz w:val="20"/>
          <w:szCs w:val="20"/>
          <w:lang w:val="en-IN" w:eastAsia="zh-CN" w:bidi="ar-SA"/>
        </w:rPr>
        <w:t xml:space="preserve"> </w:t>
      </w:r>
    </w:p>
    <w:p w14:paraId="372CB31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2.4 </w:t>
      </w:r>
      <w:r>
        <w:rPr>
          <w:rFonts w:hint="default" w:ascii="Times New Roman" w:hAnsi="Times New Roman" w:eastAsia="Times New Roman" w:cs="Times New Roman"/>
          <w:i w:val="0"/>
          <w:iCs w:val="0"/>
          <w:lang w:val="en-IN" w:eastAsia="zh-CN"/>
        </w:rPr>
        <w:t xml:space="preserve">Applicability </w:t>
      </w:r>
    </w:p>
    <w:p w14:paraId="5FDE8E4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i w:val="0"/>
          <w:iCs w:val="0"/>
          <w:color w:val="auto"/>
          <w:sz w:val="20"/>
          <w:szCs w:val="20"/>
          <w:lang w:val="en-US" w:eastAsia="zh-CN" w:bidi="ar-SA"/>
        </w:rPr>
      </w:pPr>
      <w:r>
        <w:rPr>
          <w:rFonts w:hint="default" w:ascii="Times New Roman" w:hAnsi="Times New Roman" w:eastAsia="SimSun" w:cs="Times New Roman"/>
          <w:b/>
          <w:bCs/>
          <w:sz w:val="20"/>
          <w:szCs w:val="20"/>
          <w:lang w:val="en-IN" w:eastAsia="zh-CN" w:bidi="ar-SA"/>
        </w:rPr>
        <w:t>Observation:</w:t>
      </w:r>
      <w:r>
        <w:rPr>
          <w:rFonts w:hint="default" w:ascii="Times New Roman" w:hAnsi="Times New Roman" w:eastAsia="SimSun" w:cs="Times New Roman"/>
          <w:b/>
          <w:bCs/>
          <w:sz w:val="20"/>
          <w:szCs w:val="20"/>
          <w:lang w:val="en-US" w:eastAsia="zh-CN" w:bidi="ar-SA"/>
        </w:rPr>
        <w:t xml:space="preserve"> </w:t>
      </w:r>
      <w:r>
        <w:rPr>
          <w:rFonts w:hint="default" w:ascii="Times New Roman" w:hAnsi="Times New Roman" w:eastAsia="Times New Roman" w:cs="Times New Roman"/>
          <w:i w:val="0"/>
          <w:iCs w:val="0"/>
          <w:color w:val="auto"/>
          <w:sz w:val="20"/>
          <w:szCs w:val="20"/>
          <w:lang w:val="en-US" w:eastAsia="zh-CN" w:bidi="ar-SA"/>
        </w:rPr>
        <w:t>The applicability of RRM measurement event prediction may vary over time due to changes in UE mobility, radio environment conditions, or network configuration. As such, applicability assessment is a key aspect of lifecycle management to ensure that predicted event behaviour remains reliable and aligned with legacy measurement triggering requirements.</w:t>
      </w:r>
    </w:p>
    <w:p w14:paraId="5D5521BF">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i w:val="0"/>
          <w:iCs w:val="0"/>
          <w:color w:val="auto"/>
          <w:sz w:val="20"/>
          <w:szCs w:val="20"/>
          <w:lang w:val="en-US" w:eastAsia="zh-CN" w:bidi="ar-SA"/>
        </w:rPr>
      </w:pPr>
      <w:r>
        <w:rPr>
          <w:rFonts w:hint="default" w:ascii="Times New Roman" w:hAnsi="Times New Roman" w:eastAsia="Times New Roman" w:cs="Times New Roman"/>
          <w:i w:val="0"/>
          <w:iCs w:val="0"/>
          <w:color w:val="auto"/>
          <w:sz w:val="20"/>
          <w:szCs w:val="20"/>
          <w:lang w:val="en-US" w:eastAsia="zh-CN" w:bidi="ar-SA"/>
        </w:rPr>
        <w:t>Applicability assessment may be based on inference reporting, observed measurement behaviour, or other information available to the network through existing RRM procedures. When the configured event prediction functionality is determined to be no longer applicable, the network should be able to adapt the configuration, suspend the functionality, or release it altogether.</w:t>
      </w:r>
    </w:p>
    <w:p w14:paraId="5FCEDEC3">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i w:val="0"/>
          <w:iCs w:val="0"/>
          <w:color w:val="auto"/>
          <w:sz w:val="20"/>
          <w:szCs w:val="20"/>
          <w:lang w:val="en-US" w:eastAsia="zh-CN" w:bidi="ar-SA"/>
        </w:rPr>
      </w:pPr>
      <w:r>
        <w:rPr>
          <w:rFonts w:hint="default" w:ascii="Times New Roman" w:hAnsi="Times New Roman" w:eastAsia="Times New Roman" w:cs="Times New Roman"/>
          <w:i w:val="0"/>
          <w:iCs w:val="0"/>
          <w:color w:val="auto"/>
          <w:sz w:val="20"/>
          <w:szCs w:val="20"/>
          <w:lang w:val="en-US" w:eastAsia="zh-CN" w:bidi="ar-SA"/>
        </w:rPr>
        <w:t>Supporting applicability assessment and adaptation within the LCM framework ensures robust operation of event prediction functionality while preserving fallback to legacy measurement behaviour when needed.</w:t>
      </w:r>
    </w:p>
    <w:p w14:paraId="13998E00">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US" w:eastAsia="zh-CN" w:bidi="ar-SA"/>
        </w:rPr>
        <w:t xml:space="preserve">Proposal </w:t>
      </w:r>
      <w:r>
        <w:rPr>
          <w:rFonts w:hint="default" w:cs="Times New Roman"/>
          <w:b/>
          <w:bCs/>
          <w:i w:val="0"/>
          <w:iCs w:val="0"/>
          <w:color w:val="auto"/>
          <w:sz w:val="20"/>
          <w:szCs w:val="20"/>
          <w:lang w:val="en-IN" w:eastAsia="zh-CN" w:bidi="ar-SA"/>
        </w:rPr>
        <w:t>4</w:t>
      </w:r>
      <w:r>
        <w:rPr>
          <w:rFonts w:hint="default" w:ascii="Times New Roman" w:hAnsi="Times New Roman" w:eastAsia="Times New Roman" w:cs="Times New Roman"/>
          <w:b/>
          <w:bCs/>
          <w:i w:val="0"/>
          <w:iCs w:val="0"/>
          <w:color w:val="auto"/>
          <w:sz w:val="20"/>
          <w:szCs w:val="20"/>
          <w:lang w:val="en-US" w:eastAsia="zh-CN" w:bidi="ar-SA"/>
        </w:rPr>
        <w:t>: Applicability assessment and adaptation shall allow the network to maintain, adapt, suspend, or release RRM measurement event prediction functionality, based on network configuration and UE behaviour.</w:t>
      </w:r>
    </w:p>
    <w:p w14:paraId="288A8CD3">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69B9CAF9">
      <w:pPr>
        <w:jc w:val="both"/>
        <w:rPr>
          <w:rFonts w:hint="default" w:ascii="Times New Roman" w:hAnsi="Times New Roman" w:eastAsia="굴림" w:cs="Times New Roman"/>
          <w:lang w:val="en-IN" w:eastAsia="ko-KR"/>
        </w:rPr>
      </w:pPr>
      <w:r>
        <w:rPr>
          <w:rFonts w:hint="default" w:ascii="Times New Roman" w:hAnsi="Times New Roman" w:eastAsia="굴림" w:cs="Times New Roman"/>
          <w:lang w:val="en-IN" w:eastAsia="ko-KR"/>
        </w:rPr>
        <w:t>In this contribution, we discussed RAN2 functional aspects of LCM for RRM measurement event prediction, aligned with the approved Rel-20 WI scope. The proposed framework reuses existing UE capability signalling, RRC measurement configuration, and reporting mechanisms to support configuration, operation, monitoring, and applicability assessment of event prediction functionality, while minimizing specification impact and preserving backward compatibility.</w:t>
      </w:r>
    </w:p>
    <w:p w14:paraId="08F479F2">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UE Capability</w:t>
      </w:r>
    </w:p>
    <w:p w14:paraId="7D132C47">
      <w:pPr>
        <w:rPr>
          <w:rFonts w:hint="default" w:ascii="Times New Roman" w:hAnsi="Times New Roman" w:cs="Times New Roman"/>
          <w:b/>
          <w:bCs/>
          <w:lang w:val="en-IN" w:eastAsia="zh-CN"/>
        </w:rPr>
      </w:pPr>
      <w:r>
        <w:rPr>
          <w:rFonts w:hint="default" w:ascii="Times New Roman" w:hAnsi="Times New Roman" w:cs="Times New Roman"/>
          <w:b/>
          <w:bCs/>
          <w:lang w:val="en-US" w:eastAsia="zh-CN"/>
        </w:rPr>
        <w:t>Proposal 1: UE capability signalling shall indicate support for RRM measurement event prediction, including support for event-level inference</w:t>
      </w:r>
      <w:r>
        <w:rPr>
          <w:rFonts w:hint="default" w:ascii="Times New Roman" w:hAnsi="Times New Roman" w:cs="Times New Roman"/>
          <w:b/>
          <w:bCs/>
          <w:lang w:val="en-IN" w:eastAsia="zh-CN"/>
        </w:rPr>
        <w:t xml:space="preserve"> </w:t>
      </w:r>
      <w:bookmarkStart w:id="3" w:name="_GoBack"/>
      <w:bookmarkEnd w:id="3"/>
      <w:r>
        <w:rPr>
          <w:rFonts w:hint="default" w:ascii="Times New Roman" w:hAnsi="Times New Roman" w:cs="Times New Roman"/>
          <w:b/>
          <w:bCs/>
          <w:lang w:val="en-IN" w:eastAsia="zh-CN"/>
        </w:rPr>
        <w:t>(PA1-PA6)</w:t>
      </w:r>
      <w:r>
        <w:rPr>
          <w:rFonts w:hint="default" w:ascii="Times New Roman" w:hAnsi="Times New Roman" w:cs="Times New Roman"/>
          <w:b/>
          <w:bCs/>
          <w:lang w:val="en-US" w:eastAsia="zh-CN"/>
        </w:rPr>
        <w:t>, and shall not include AI/ML model-specific information</w:t>
      </w:r>
      <w:r>
        <w:rPr>
          <w:rFonts w:hint="default" w:ascii="Times New Roman" w:hAnsi="Times New Roman" w:cs="Times New Roman"/>
          <w:b/>
          <w:bCs/>
          <w:lang w:val="en-IN" w:eastAsia="zh-CN"/>
        </w:rPr>
        <w:t>.</w:t>
      </w:r>
    </w:p>
    <w:p w14:paraId="7344495D">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Inference Configuration</w:t>
      </w:r>
    </w:p>
    <w:p w14:paraId="426AD5A6">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Inference configuration shall be provided as part of RRM measurement configuration for RRM measurement event prediction and shall be associated with the corresponding measurement ID.</w:t>
      </w:r>
    </w:p>
    <w:p w14:paraId="39EEF7C1">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Inference Reporting</w:t>
      </w:r>
    </w:p>
    <w:p w14:paraId="6A266C53">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US" w:eastAsia="zh-CN" w:bidi="ar-SA"/>
        </w:rPr>
        <w:t>Proposal 3: Inference reporting shall be supported using existing RRM measurement reporting procedures for RRM measurement event prediction, without introducing new reporting mechanisms.</w:t>
      </w:r>
      <w:r>
        <w:rPr>
          <w:rFonts w:hint="default" w:cs="Times New Roman"/>
          <w:b/>
          <w:bCs/>
          <w:i w:val="0"/>
          <w:iCs w:val="0"/>
          <w:color w:val="auto"/>
          <w:sz w:val="20"/>
          <w:szCs w:val="20"/>
          <w:lang w:val="en-IN" w:eastAsia="zh-CN" w:bidi="ar-SA"/>
        </w:rPr>
        <w:t xml:space="preserve"> </w:t>
      </w:r>
    </w:p>
    <w:p w14:paraId="3640A7AE">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 xml:space="preserve">Applicability </w:t>
      </w:r>
    </w:p>
    <w:p w14:paraId="2760F26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ind w:left="0" w:right="0" w:firstLine="0"/>
        <w:jc w:val="both"/>
        <w:textAlignment w:val="baseline"/>
        <w:rPr>
          <w:rFonts w:hint="default"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US" w:eastAsia="zh-CN" w:bidi="ar-SA"/>
        </w:rPr>
        <w:t xml:space="preserve">Proposal </w:t>
      </w:r>
      <w:r>
        <w:rPr>
          <w:rFonts w:hint="default" w:cs="Times New Roman"/>
          <w:b/>
          <w:bCs/>
          <w:i w:val="0"/>
          <w:iCs w:val="0"/>
          <w:color w:val="auto"/>
          <w:sz w:val="20"/>
          <w:szCs w:val="20"/>
          <w:lang w:val="en-IN" w:eastAsia="zh-CN" w:bidi="ar-SA"/>
        </w:rPr>
        <w:t>4</w:t>
      </w:r>
      <w:r>
        <w:rPr>
          <w:rFonts w:hint="default" w:ascii="Times New Roman" w:hAnsi="Times New Roman" w:eastAsia="Times New Roman" w:cs="Times New Roman"/>
          <w:b/>
          <w:bCs/>
          <w:i w:val="0"/>
          <w:iCs w:val="0"/>
          <w:color w:val="auto"/>
          <w:sz w:val="20"/>
          <w:szCs w:val="20"/>
          <w:lang w:val="en-US" w:eastAsia="zh-CN" w:bidi="ar-SA"/>
        </w:rPr>
        <w:t>: Applicability assessment and adaptation shall allow the network to maintain, adapt, suspend, or release RRM measurement event prediction functionality, based on network configuration and UE behaviour.</w:t>
      </w:r>
    </w:p>
    <w:p w14:paraId="4E3269EC">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r>
        <w:rPr>
          <w:rFonts w:hint="default" w:ascii="Times New Roman" w:hAnsi="Times New Roman" w:cs="Times New Roman"/>
          <w:szCs w:val="20"/>
          <w:lang w:val="en-IN"/>
        </w:rPr>
        <w:t xml:space="preserve"> </w:t>
      </w:r>
    </w:p>
    <w:p w14:paraId="14D74830">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w:t>
      </w:r>
      <w:r>
        <w:rPr>
          <w:rFonts w:hint="default" w:ascii="Times New Roman" w:hAnsi="Times New Roman" w:cs="Times New Roman"/>
          <w:lang w:val="en-IN" w:eastAsia="zh-CN"/>
        </w:rPr>
        <w:t>52899</w:t>
      </w:r>
      <w:r>
        <w:rPr>
          <w:rFonts w:hint="default" w:ascii="Times New Roman" w:hAnsi="Times New Roman" w:cs="Times New Roman"/>
          <w:lang w:eastAsia="zh-CN"/>
        </w:rPr>
        <w:t xml:space="preserve"> New WID: </w:t>
      </w:r>
      <w:r>
        <w:rPr>
          <w:rFonts w:hint="default" w:ascii="Times New Roman" w:hAnsi="Times New Roman" w:cs="Times New Roman"/>
          <w:lang w:val="en-IN" w:eastAsia="zh-CN"/>
        </w:rPr>
        <w:t>AI Mobility, RAN#109.</w:t>
      </w:r>
    </w:p>
    <w:p w14:paraId="392C41BE">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TR 38.744,</w:t>
      </w:r>
      <w:r>
        <w:rPr>
          <w:rFonts w:hint="default" w:ascii="Times New Roman" w:hAnsi="Times New Roman" w:eastAsia="SimSun" w:cs="Times New Roman"/>
          <w:i w:val="0"/>
          <w:iCs w:val="0"/>
          <w:caps w:val="0"/>
          <w:color w:val="000000"/>
          <w:spacing w:val="0"/>
          <w:sz w:val="20"/>
          <w:szCs w:val="20"/>
          <w:shd w:val="clear" w:fill="FFFFFF"/>
          <w:lang w:val="en-US"/>
        </w:rPr>
        <w:t> Study on Arftificaial Intelligence (AI)/ Machine Learning (ML) for Mobility in NR (Release 19) </w:t>
      </w:r>
      <w:r>
        <w:rPr>
          <w:rFonts w:hint="default" w:ascii="Times New Roman" w:hAnsi="Times New Roman" w:eastAsia="SimSun" w:cs="Times New Roman"/>
          <w:i w:val="0"/>
          <w:iCs w:val="0"/>
          <w:caps w:val="0"/>
          <w:color w:val="000000"/>
          <w:spacing w:val="0"/>
          <w:sz w:val="20"/>
          <w:szCs w:val="20"/>
          <w:shd w:val="clear" w:fill="FFFFFF"/>
        </w:rPr>
        <w:t> </w:t>
      </w:r>
    </w:p>
    <w:p w14:paraId="32868CAA">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TR 38.843, Study on Artificial Intelligence (AI)/Machine Learning (ML) for NR air interface,V19.0.0, RAN#109</w:t>
      </w:r>
      <w:bookmarkStart w:id="2" w:name="OLE_LINK34"/>
    </w:p>
    <w:bookmarkEnd w:id="2"/>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Lucida Grande">
    <w:altName w:val="Courier New"/>
    <w:panose1 w:val="020B0600040502020204"/>
    <w:charset w:val="00"/>
    <w:family w:val="swiss"/>
    <w:pitch w:val="default"/>
    <w:sig w:usb0="00000000" w:usb1="00000000" w:usb2="00000000" w:usb3="00000000" w:csb0="000001BF" w:csb1="00000000"/>
  </w:font>
  <w:font w:name="굴림">
    <w:altName w:val="Malgun Gothic"/>
    <w:panose1 w:val="020B0600000101010101"/>
    <w:charset w:val="81"/>
    <w:family w:val="moder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4DAF01B"/>
    <w:multiLevelType w:val="singleLevel"/>
    <w:tmpl w:val="24DAF01B"/>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6">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2">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C2DA6CA"/>
    <w:multiLevelType w:val="multilevel"/>
    <w:tmpl w:val="6C2DA6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5">
    <w:nsid w:val="7893FCAC"/>
    <w:multiLevelType w:val="multilevel"/>
    <w:tmpl w:val="7893FC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7"/>
  </w:num>
  <w:num w:numId="4">
    <w:abstractNumId w:val="12"/>
  </w:num>
  <w:num w:numId="5">
    <w:abstractNumId w:val="3"/>
  </w:num>
  <w:num w:numId="6">
    <w:abstractNumId w:val="6"/>
  </w:num>
  <w:num w:numId="7">
    <w:abstractNumId w:val="8"/>
  </w:num>
  <w:num w:numId="8">
    <w:abstractNumId w:val="4"/>
  </w:num>
  <w:num w:numId="9">
    <w:abstractNumId w:val="9"/>
  </w:num>
  <w:num w:numId="10">
    <w:abstractNumId w:val="16"/>
  </w:num>
  <w:num w:numId="11">
    <w:abstractNumId w:val="11"/>
  </w:num>
  <w:num w:numId="12">
    <w:abstractNumId w:val="14"/>
  </w:num>
  <w:num w:numId="13">
    <w:abstractNumId w:val="10"/>
  </w:num>
  <w:num w:numId="14">
    <w:abstractNumId w:val="5"/>
  </w:num>
  <w:num w:numId="15">
    <w:abstractNumId w:val="15"/>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3F044E6"/>
    <w:rsid w:val="045D4251"/>
    <w:rsid w:val="049E52A6"/>
    <w:rsid w:val="05960909"/>
    <w:rsid w:val="05C8248C"/>
    <w:rsid w:val="07051E94"/>
    <w:rsid w:val="073A2F41"/>
    <w:rsid w:val="074D66CE"/>
    <w:rsid w:val="07934F7B"/>
    <w:rsid w:val="0831247B"/>
    <w:rsid w:val="0852331B"/>
    <w:rsid w:val="08971832"/>
    <w:rsid w:val="08BC3764"/>
    <w:rsid w:val="09844786"/>
    <w:rsid w:val="09BE6112"/>
    <w:rsid w:val="0A066149"/>
    <w:rsid w:val="0A0C35ED"/>
    <w:rsid w:val="0A4E4DF4"/>
    <w:rsid w:val="0B03501E"/>
    <w:rsid w:val="0B38235F"/>
    <w:rsid w:val="0BB85A80"/>
    <w:rsid w:val="0BD7497E"/>
    <w:rsid w:val="0CAA6C3B"/>
    <w:rsid w:val="0CAD1108"/>
    <w:rsid w:val="0D986571"/>
    <w:rsid w:val="0DF6562C"/>
    <w:rsid w:val="0E9A4420"/>
    <w:rsid w:val="0EFF715B"/>
    <w:rsid w:val="102434F5"/>
    <w:rsid w:val="10402743"/>
    <w:rsid w:val="113C7F55"/>
    <w:rsid w:val="11CF6A61"/>
    <w:rsid w:val="129A0A6B"/>
    <w:rsid w:val="12EC76FF"/>
    <w:rsid w:val="133742F0"/>
    <w:rsid w:val="136479F4"/>
    <w:rsid w:val="137917AE"/>
    <w:rsid w:val="13984D29"/>
    <w:rsid w:val="13BF1EF7"/>
    <w:rsid w:val="15273D43"/>
    <w:rsid w:val="15556B27"/>
    <w:rsid w:val="16D81AAB"/>
    <w:rsid w:val="17263761"/>
    <w:rsid w:val="17C025B0"/>
    <w:rsid w:val="17CB2E65"/>
    <w:rsid w:val="17DD05A8"/>
    <w:rsid w:val="17F57C9F"/>
    <w:rsid w:val="18592438"/>
    <w:rsid w:val="18D57CCC"/>
    <w:rsid w:val="18F9776C"/>
    <w:rsid w:val="1A35698F"/>
    <w:rsid w:val="1A7739DE"/>
    <w:rsid w:val="1ADC758E"/>
    <w:rsid w:val="1B374B68"/>
    <w:rsid w:val="1B6D1F56"/>
    <w:rsid w:val="1BC26608"/>
    <w:rsid w:val="1D073183"/>
    <w:rsid w:val="1E4B248D"/>
    <w:rsid w:val="1E9056EF"/>
    <w:rsid w:val="1F151DD5"/>
    <w:rsid w:val="1FB551F0"/>
    <w:rsid w:val="1FEA526B"/>
    <w:rsid w:val="1FEE695B"/>
    <w:rsid w:val="203330E1"/>
    <w:rsid w:val="20455156"/>
    <w:rsid w:val="207E5ADF"/>
    <w:rsid w:val="20E64474"/>
    <w:rsid w:val="211E4363"/>
    <w:rsid w:val="21655077"/>
    <w:rsid w:val="2249146F"/>
    <w:rsid w:val="225902C4"/>
    <w:rsid w:val="22592A24"/>
    <w:rsid w:val="22A972A6"/>
    <w:rsid w:val="22B939E1"/>
    <w:rsid w:val="22D84D4A"/>
    <w:rsid w:val="236751A2"/>
    <w:rsid w:val="23883EAC"/>
    <w:rsid w:val="23B35432"/>
    <w:rsid w:val="2412563B"/>
    <w:rsid w:val="2471149F"/>
    <w:rsid w:val="24AA2336"/>
    <w:rsid w:val="251F0D1B"/>
    <w:rsid w:val="25564A10"/>
    <w:rsid w:val="257C6209"/>
    <w:rsid w:val="25E85D30"/>
    <w:rsid w:val="25EC6933"/>
    <w:rsid w:val="26A56FD4"/>
    <w:rsid w:val="26B872A7"/>
    <w:rsid w:val="27532F3B"/>
    <w:rsid w:val="27987506"/>
    <w:rsid w:val="2894287E"/>
    <w:rsid w:val="296F5A87"/>
    <w:rsid w:val="29956A5E"/>
    <w:rsid w:val="29E442AF"/>
    <w:rsid w:val="2A015241"/>
    <w:rsid w:val="2A667732"/>
    <w:rsid w:val="2A692B9B"/>
    <w:rsid w:val="2A6D7A05"/>
    <w:rsid w:val="2B216025"/>
    <w:rsid w:val="2B4B4E3D"/>
    <w:rsid w:val="2BFE26C6"/>
    <w:rsid w:val="2C227B35"/>
    <w:rsid w:val="2C3B5B01"/>
    <w:rsid w:val="2C867A96"/>
    <w:rsid w:val="2CDD53B3"/>
    <w:rsid w:val="2CFE5D47"/>
    <w:rsid w:val="2E6125A6"/>
    <w:rsid w:val="2EF54BB9"/>
    <w:rsid w:val="2F410E7B"/>
    <w:rsid w:val="2F8D4D7D"/>
    <w:rsid w:val="2FAD36C3"/>
    <w:rsid w:val="30006F9C"/>
    <w:rsid w:val="31594282"/>
    <w:rsid w:val="315F400E"/>
    <w:rsid w:val="31764C3F"/>
    <w:rsid w:val="31E91F1F"/>
    <w:rsid w:val="31F40653"/>
    <w:rsid w:val="33DC7D6A"/>
    <w:rsid w:val="35C34243"/>
    <w:rsid w:val="36270F18"/>
    <w:rsid w:val="364A19FA"/>
    <w:rsid w:val="36EB624B"/>
    <w:rsid w:val="37705E9C"/>
    <w:rsid w:val="38240A52"/>
    <w:rsid w:val="385E1608"/>
    <w:rsid w:val="38FF5FAB"/>
    <w:rsid w:val="393176CF"/>
    <w:rsid w:val="39DA48E8"/>
    <w:rsid w:val="3A064243"/>
    <w:rsid w:val="3AB82FDF"/>
    <w:rsid w:val="3B46104B"/>
    <w:rsid w:val="3B6B5A08"/>
    <w:rsid w:val="3BE52761"/>
    <w:rsid w:val="3BF875AB"/>
    <w:rsid w:val="3CEF24BF"/>
    <w:rsid w:val="3D407F0C"/>
    <w:rsid w:val="3D6C528D"/>
    <w:rsid w:val="3EC66663"/>
    <w:rsid w:val="3F82703B"/>
    <w:rsid w:val="40526747"/>
    <w:rsid w:val="40A53B48"/>
    <w:rsid w:val="40B84074"/>
    <w:rsid w:val="40C142CB"/>
    <w:rsid w:val="414A1CD8"/>
    <w:rsid w:val="42380D30"/>
    <w:rsid w:val="42717C50"/>
    <w:rsid w:val="428471F1"/>
    <w:rsid w:val="428D1B9B"/>
    <w:rsid w:val="42A83EDD"/>
    <w:rsid w:val="44516AA1"/>
    <w:rsid w:val="44DD4B27"/>
    <w:rsid w:val="45B96DA7"/>
    <w:rsid w:val="46402205"/>
    <w:rsid w:val="46CE2624"/>
    <w:rsid w:val="471D4A8B"/>
    <w:rsid w:val="476E11F9"/>
    <w:rsid w:val="47CF4CBD"/>
    <w:rsid w:val="48032AD9"/>
    <w:rsid w:val="482578F8"/>
    <w:rsid w:val="487C173B"/>
    <w:rsid w:val="48923403"/>
    <w:rsid w:val="48BE62E5"/>
    <w:rsid w:val="49402E59"/>
    <w:rsid w:val="499D3711"/>
    <w:rsid w:val="4A681188"/>
    <w:rsid w:val="4A9A0EE6"/>
    <w:rsid w:val="4BB1325C"/>
    <w:rsid w:val="4C8927EB"/>
    <w:rsid w:val="4CA50021"/>
    <w:rsid w:val="4CDD283B"/>
    <w:rsid w:val="4CFF1952"/>
    <w:rsid w:val="4D355CB8"/>
    <w:rsid w:val="4E5B4D57"/>
    <w:rsid w:val="4EF75830"/>
    <w:rsid w:val="4F2D48C4"/>
    <w:rsid w:val="4F716A63"/>
    <w:rsid w:val="4F9D33AA"/>
    <w:rsid w:val="5045033F"/>
    <w:rsid w:val="50554986"/>
    <w:rsid w:val="506C0C4E"/>
    <w:rsid w:val="508D6535"/>
    <w:rsid w:val="510335BA"/>
    <w:rsid w:val="51193B9B"/>
    <w:rsid w:val="51600C34"/>
    <w:rsid w:val="51D34289"/>
    <w:rsid w:val="529B735E"/>
    <w:rsid w:val="53AE55F7"/>
    <w:rsid w:val="558D187E"/>
    <w:rsid w:val="55901067"/>
    <w:rsid w:val="560663C5"/>
    <w:rsid w:val="567E3972"/>
    <w:rsid w:val="56C072E7"/>
    <w:rsid w:val="56D1024A"/>
    <w:rsid w:val="56F82FDB"/>
    <w:rsid w:val="58021CE9"/>
    <w:rsid w:val="58CB0962"/>
    <w:rsid w:val="59830925"/>
    <w:rsid w:val="59D61179"/>
    <w:rsid w:val="5A6D1717"/>
    <w:rsid w:val="5A83719B"/>
    <w:rsid w:val="5AD738D5"/>
    <w:rsid w:val="5B396328"/>
    <w:rsid w:val="5BA65CB3"/>
    <w:rsid w:val="5C5F10B5"/>
    <w:rsid w:val="5CA81980"/>
    <w:rsid w:val="5D625B10"/>
    <w:rsid w:val="5D8C69D3"/>
    <w:rsid w:val="5F702B80"/>
    <w:rsid w:val="5FD23B07"/>
    <w:rsid w:val="605B580B"/>
    <w:rsid w:val="6072304B"/>
    <w:rsid w:val="60A7051F"/>
    <w:rsid w:val="60BF2442"/>
    <w:rsid w:val="60DD0BAD"/>
    <w:rsid w:val="61464BA5"/>
    <w:rsid w:val="62A16505"/>
    <w:rsid w:val="635D5C76"/>
    <w:rsid w:val="63746868"/>
    <w:rsid w:val="63E14B3E"/>
    <w:rsid w:val="647C37F5"/>
    <w:rsid w:val="64BD33A1"/>
    <w:rsid w:val="64E50514"/>
    <w:rsid w:val="66C327FA"/>
    <w:rsid w:val="673A2DA9"/>
    <w:rsid w:val="67CA1877"/>
    <w:rsid w:val="68A15330"/>
    <w:rsid w:val="69254592"/>
    <w:rsid w:val="69E82BD0"/>
    <w:rsid w:val="6A4D40CB"/>
    <w:rsid w:val="6A4E32D2"/>
    <w:rsid w:val="6BD9660A"/>
    <w:rsid w:val="6BEE35CC"/>
    <w:rsid w:val="6CBB3DE1"/>
    <w:rsid w:val="6D673A8B"/>
    <w:rsid w:val="6DCA3B30"/>
    <w:rsid w:val="705708DB"/>
    <w:rsid w:val="70B66BEB"/>
    <w:rsid w:val="71DE3CE7"/>
    <w:rsid w:val="725B5B2D"/>
    <w:rsid w:val="73E75963"/>
    <w:rsid w:val="74B152B6"/>
    <w:rsid w:val="74C344CD"/>
    <w:rsid w:val="74D0727A"/>
    <w:rsid w:val="75415389"/>
    <w:rsid w:val="757C24A2"/>
    <w:rsid w:val="7581598A"/>
    <w:rsid w:val="75E9182E"/>
    <w:rsid w:val="75ED7F88"/>
    <w:rsid w:val="76925D60"/>
    <w:rsid w:val="76CD744C"/>
    <w:rsid w:val="772C23A7"/>
    <w:rsid w:val="77B72A76"/>
    <w:rsid w:val="79324FE1"/>
    <w:rsid w:val="79966CC7"/>
    <w:rsid w:val="7A8B765D"/>
    <w:rsid w:val="7B795FAE"/>
    <w:rsid w:val="7B9F20D5"/>
    <w:rsid w:val="7BB30F17"/>
    <w:rsid w:val="7BB60E19"/>
    <w:rsid w:val="7C3D17EF"/>
    <w:rsid w:val="7CD90610"/>
    <w:rsid w:val="7CE86C9A"/>
    <w:rsid w:val="7CF61B59"/>
    <w:rsid w:val="7D553741"/>
    <w:rsid w:val="7DEB5D59"/>
    <w:rsid w:val="7F1F61F1"/>
    <w:rsid w:val="7F2C55E5"/>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4</Pages>
  <Words>3347</Words>
  <Characters>18439</Characters>
  <Lines>153</Lines>
  <Paragraphs>43</Paragraphs>
  <TotalTime>0</TotalTime>
  <ScaleCrop>false</ScaleCrop>
  <LinksUpToDate>false</LinksUpToDate>
  <CharactersWithSpaces>21743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2026-01-30T09:44:07Z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1033-12.2.0.23196</vt:lpwstr>
  </property>
  <property fmtid="{D5CDD505-2E9C-101B-9397-08002B2CF9AE}" pid="28" name="ICV">
    <vt:lpwstr>BB67CCF911D54EF9A284D00E18083E0A_13</vt:lpwstr>
  </property>
</Properties>
</file>